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62" w:rsidRPr="00374B14" w:rsidRDefault="00FD3262" w:rsidP="00FD3262">
      <w:pPr>
        <w:jc w:val="center"/>
        <w:rPr>
          <w:b/>
          <w:color w:val="365F91" w:themeColor="accent1" w:themeShade="BF"/>
          <w:sz w:val="36"/>
          <w:u w:val="single"/>
        </w:rPr>
      </w:pPr>
      <w:r w:rsidRPr="00374B14">
        <w:rPr>
          <w:b/>
          <w:color w:val="365F91" w:themeColor="accent1" w:themeShade="BF"/>
          <w:sz w:val="36"/>
          <w:u w:val="single"/>
        </w:rPr>
        <w:t>ENHANCEMENTS TO THE EONIA BENCHMARK</w:t>
      </w:r>
    </w:p>
    <w:p w:rsidR="00941366" w:rsidRPr="00941366" w:rsidRDefault="00941366" w:rsidP="00941366">
      <w:pPr>
        <w:jc w:val="both"/>
        <w:rPr>
          <w:sz w:val="24"/>
          <w:szCs w:val="24"/>
          <w:lang w:val="en-GB"/>
        </w:rPr>
      </w:pPr>
    </w:p>
    <w:p w:rsidR="00941366" w:rsidRPr="00941366" w:rsidRDefault="00941366" w:rsidP="00941366">
      <w:pPr>
        <w:spacing w:after="240" w:line="276" w:lineRule="auto"/>
        <w:jc w:val="both"/>
        <w:rPr>
          <w:sz w:val="24"/>
          <w:szCs w:val="24"/>
          <w:lang w:val="en-GB"/>
        </w:rPr>
      </w:pPr>
      <w:r w:rsidRPr="00941366">
        <w:rPr>
          <w:sz w:val="24"/>
          <w:szCs w:val="24"/>
          <w:lang w:val="en-GB"/>
        </w:rPr>
        <w:t xml:space="preserve">EMMI would like to obtain the opinion of </w:t>
      </w:r>
      <w:r w:rsidRPr="00941366">
        <w:rPr>
          <w:sz w:val="24"/>
          <w:szCs w:val="24"/>
          <w:lang w:val="en-GB"/>
        </w:rPr>
        <w:t>EONIA stakeholders</w:t>
      </w:r>
      <w:r w:rsidRPr="00941366">
        <w:rPr>
          <w:sz w:val="24"/>
          <w:szCs w:val="24"/>
          <w:lang w:val="en-GB"/>
        </w:rPr>
        <w:t xml:space="preserve"> and interested parties on the following issues concerning the </w:t>
      </w:r>
      <w:r w:rsidRPr="00941366">
        <w:rPr>
          <w:sz w:val="24"/>
          <w:szCs w:val="24"/>
          <w:lang w:val="en-GB"/>
        </w:rPr>
        <w:t xml:space="preserve">first phase of the </w:t>
      </w:r>
      <w:proofErr w:type="spellStart"/>
      <w:r w:rsidRPr="00941366">
        <w:rPr>
          <w:sz w:val="24"/>
          <w:szCs w:val="24"/>
          <w:lang w:val="en-GB"/>
        </w:rPr>
        <w:t>Eonia</w:t>
      </w:r>
      <w:proofErr w:type="spellEnd"/>
      <w:r w:rsidRPr="00941366">
        <w:rPr>
          <w:sz w:val="24"/>
          <w:szCs w:val="24"/>
          <w:lang w:val="en-GB"/>
        </w:rPr>
        <w:t xml:space="preserve"> Review, as described in the Consultative Paper on Enhancements to the </w:t>
      </w:r>
      <w:proofErr w:type="spellStart"/>
      <w:r w:rsidRPr="00941366">
        <w:rPr>
          <w:sz w:val="24"/>
          <w:szCs w:val="24"/>
          <w:lang w:val="en-GB"/>
        </w:rPr>
        <w:t>Eonia</w:t>
      </w:r>
      <w:proofErr w:type="spellEnd"/>
      <w:r w:rsidRPr="00941366">
        <w:rPr>
          <w:sz w:val="24"/>
          <w:szCs w:val="24"/>
          <w:lang w:val="en-GB"/>
        </w:rPr>
        <w:t xml:space="preserve"> Benchmark</w:t>
      </w:r>
      <w:r w:rsidRPr="00941366">
        <w:rPr>
          <w:sz w:val="24"/>
          <w:szCs w:val="24"/>
          <w:lang w:val="en-GB"/>
        </w:rPr>
        <w:t>.</w:t>
      </w:r>
    </w:p>
    <w:tbl>
      <w:tblPr>
        <w:tblStyle w:val="TableGrid"/>
        <w:tblW w:w="9852" w:type="dxa"/>
        <w:tblInd w:w="279" w:type="dxa"/>
        <w:tblLook w:val="04A0" w:firstRow="1" w:lastRow="0" w:firstColumn="1" w:lastColumn="0" w:noHBand="0" w:noVBand="1"/>
      </w:tblPr>
      <w:tblGrid>
        <w:gridCol w:w="3118"/>
        <w:gridCol w:w="6734"/>
      </w:tblGrid>
      <w:tr w:rsidR="00941366" w:rsidTr="00941366">
        <w:trPr>
          <w:trHeight w:val="485"/>
        </w:trPr>
        <w:tc>
          <w:tcPr>
            <w:tcW w:w="3118" w:type="dxa"/>
            <w:tcBorders>
              <w:top w:val="single" w:sz="4" w:space="0" w:color="auto"/>
              <w:left w:val="single" w:sz="4" w:space="0" w:color="auto"/>
              <w:bottom w:val="single" w:sz="4" w:space="0" w:color="auto"/>
              <w:right w:val="single" w:sz="4" w:space="0" w:color="auto"/>
            </w:tcBorders>
            <w:vAlign w:val="center"/>
            <w:hideMark/>
          </w:tcPr>
          <w:p w:rsidR="00941366" w:rsidRPr="00941366" w:rsidRDefault="00941366" w:rsidP="00941366">
            <w:pPr>
              <w:pStyle w:val="ListParagraph"/>
              <w:spacing w:before="100" w:beforeAutospacing="1" w:after="150" w:line="225" w:lineRule="atLeast"/>
              <w:ind w:left="0"/>
              <w:rPr>
                <w:rFonts w:asciiTheme="minorHAnsi" w:hAnsiTheme="minorHAnsi"/>
                <w:b/>
                <w:lang w:val="en-GB"/>
              </w:rPr>
            </w:pPr>
            <w:r w:rsidRPr="00941366">
              <w:rPr>
                <w:rFonts w:asciiTheme="minorHAnsi" w:hAnsiTheme="minorHAnsi"/>
                <w:lang w:val="en-GB"/>
              </w:rPr>
              <w:t xml:space="preserve"> </w:t>
            </w:r>
            <w:r w:rsidRPr="00941366">
              <w:rPr>
                <w:rFonts w:asciiTheme="minorHAnsi" w:hAnsiTheme="minorHAnsi"/>
                <w:b/>
                <w:lang w:val="en-GB"/>
              </w:rPr>
              <w:t>Name of respondent:</w:t>
            </w:r>
          </w:p>
        </w:tc>
        <w:tc>
          <w:tcPr>
            <w:tcW w:w="6734"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lang w:val="en-GB"/>
              </w:rPr>
            </w:pPr>
          </w:p>
        </w:tc>
      </w:tr>
      <w:tr w:rsidR="00941366" w:rsidTr="00941366">
        <w:trPr>
          <w:trHeight w:val="500"/>
        </w:trPr>
        <w:tc>
          <w:tcPr>
            <w:tcW w:w="3118" w:type="dxa"/>
            <w:tcBorders>
              <w:top w:val="single" w:sz="4" w:space="0" w:color="auto"/>
              <w:left w:val="single" w:sz="4" w:space="0" w:color="auto"/>
              <w:bottom w:val="single" w:sz="4" w:space="0" w:color="auto"/>
              <w:right w:val="single" w:sz="4" w:space="0" w:color="auto"/>
            </w:tcBorders>
            <w:vAlign w:val="center"/>
            <w:hideMark/>
          </w:tcPr>
          <w:p w:rsidR="00941366" w:rsidRPr="00941366" w:rsidRDefault="00941366" w:rsidP="00941366">
            <w:pPr>
              <w:pStyle w:val="ListParagraph"/>
              <w:spacing w:before="100" w:beforeAutospacing="1" w:after="150" w:line="225" w:lineRule="atLeast"/>
              <w:ind w:left="0"/>
              <w:rPr>
                <w:rFonts w:asciiTheme="minorHAnsi" w:hAnsiTheme="minorHAnsi"/>
                <w:b/>
                <w:lang w:val="en-GB"/>
              </w:rPr>
            </w:pPr>
            <w:r w:rsidRPr="00941366">
              <w:rPr>
                <w:rFonts w:asciiTheme="minorHAnsi" w:hAnsiTheme="minorHAnsi"/>
                <w:b/>
                <w:lang w:val="en-GB"/>
              </w:rPr>
              <w:t>Position:</w:t>
            </w:r>
          </w:p>
        </w:tc>
        <w:tc>
          <w:tcPr>
            <w:tcW w:w="6734"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lang w:val="en-GB"/>
              </w:rPr>
            </w:pPr>
          </w:p>
        </w:tc>
      </w:tr>
      <w:tr w:rsidR="00941366" w:rsidTr="00941366">
        <w:trPr>
          <w:trHeight w:val="485"/>
        </w:trPr>
        <w:tc>
          <w:tcPr>
            <w:tcW w:w="3118" w:type="dxa"/>
            <w:tcBorders>
              <w:top w:val="single" w:sz="4" w:space="0" w:color="auto"/>
              <w:left w:val="single" w:sz="4" w:space="0" w:color="auto"/>
              <w:bottom w:val="single" w:sz="4" w:space="0" w:color="auto"/>
              <w:right w:val="single" w:sz="4" w:space="0" w:color="auto"/>
            </w:tcBorders>
            <w:vAlign w:val="center"/>
            <w:hideMark/>
          </w:tcPr>
          <w:p w:rsidR="00941366" w:rsidRPr="00941366" w:rsidRDefault="00941366" w:rsidP="00941366">
            <w:pPr>
              <w:pStyle w:val="ListParagraph"/>
              <w:spacing w:before="100" w:beforeAutospacing="1" w:after="150" w:line="225" w:lineRule="atLeast"/>
              <w:ind w:left="0"/>
              <w:rPr>
                <w:rFonts w:asciiTheme="minorHAnsi" w:hAnsiTheme="minorHAnsi"/>
                <w:b/>
                <w:lang w:val="en-GB"/>
              </w:rPr>
            </w:pPr>
            <w:r w:rsidRPr="00941366">
              <w:rPr>
                <w:rFonts w:asciiTheme="minorHAnsi" w:hAnsiTheme="minorHAnsi"/>
                <w:b/>
                <w:lang w:val="en-GB"/>
              </w:rPr>
              <w:t>Organisation:</w:t>
            </w:r>
          </w:p>
        </w:tc>
        <w:tc>
          <w:tcPr>
            <w:tcW w:w="6734"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lang w:val="en-GB"/>
              </w:rPr>
            </w:pPr>
          </w:p>
        </w:tc>
      </w:tr>
      <w:tr w:rsidR="00941366" w:rsidTr="00941366">
        <w:trPr>
          <w:trHeight w:val="500"/>
        </w:trPr>
        <w:tc>
          <w:tcPr>
            <w:tcW w:w="3118" w:type="dxa"/>
            <w:tcBorders>
              <w:top w:val="single" w:sz="4" w:space="0" w:color="auto"/>
              <w:left w:val="single" w:sz="4" w:space="0" w:color="auto"/>
              <w:bottom w:val="single" w:sz="4" w:space="0" w:color="auto"/>
              <w:right w:val="single" w:sz="4" w:space="0" w:color="auto"/>
            </w:tcBorders>
            <w:vAlign w:val="center"/>
            <w:hideMark/>
          </w:tcPr>
          <w:p w:rsidR="00941366" w:rsidRPr="00941366" w:rsidRDefault="00941366" w:rsidP="00941366">
            <w:pPr>
              <w:pStyle w:val="ListParagraph"/>
              <w:spacing w:before="100" w:beforeAutospacing="1" w:after="150" w:line="225" w:lineRule="atLeast"/>
              <w:ind w:left="0"/>
              <w:rPr>
                <w:rFonts w:asciiTheme="minorHAnsi" w:hAnsiTheme="minorHAnsi"/>
                <w:b/>
                <w:lang w:val="en-GB"/>
              </w:rPr>
            </w:pPr>
            <w:r w:rsidRPr="00941366">
              <w:rPr>
                <w:rFonts w:asciiTheme="minorHAnsi" w:hAnsiTheme="minorHAnsi"/>
                <w:b/>
                <w:lang w:val="en-GB"/>
              </w:rPr>
              <w:t>Email:</w:t>
            </w:r>
          </w:p>
        </w:tc>
        <w:tc>
          <w:tcPr>
            <w:tcW w:w="6734"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lang w:val="en-GB"/>
              </w:rPr>
            </w:pPr>
          </w:p>
        </w:tc>
      </w:tr>
      <w:tr w:rsidR="00941366" w:rsidTr="00941366">
        <w:trPr>
          <w:trHeight w:val="485"/>
        </w:trPr>
        <w:tc>
          <w:tcPr>
            <w:tcW w:w="3118" w:type="dxa"/>
            <w:tcBorders>
              <w:top w:val="single" w:sz="4" w:space="0" w:color="auto"/>
              <w:left w:val="single" w:sz="4" w:space="0" w:color="auto"/>
              <w:bottom w:val="single" w:sz="4" w:space="0" w:color="auto"/>
              <w:right w:val="single" w:sz="4" w:space="0" w:color="auto"/>
            </w:tcBorders>
            <w:vAlign w:val="center"/>
            <w:hideMark/>
          </w:tcPr>
          <w:p w:rsidR="00941366" w:rsidRPr="00941366" w:rsidRDefault="00941366" w:rsidP="00941366">
            <w:pPr>
              <w:pStyle w:val="ListParagraph"/>
              <w:spacing w:before="100" w:beforeAutospacing="1" w:after="150" w:line="225" w:lineRule="atLeast"/>
              <w:ind w:left="0"/>
              <w:rPr>
                <w:rFonts w:asciiTheme="minorHAnsi" w:hAnsiTheme="minorHAnsi"/>
                <w:b/>
                <w:lang w:val="en-GB"/>
              </w:rPr>
            </w:pPr>
            <w:r w:rsidRPr="00941366">
              <w:rPr>
                <w:rFonts w:asciiTheme="minorHAnsi" w:hAnsiTheme="minorHAnsi"/>
                <w:b/>
                <w:lang w:val="en-GB"/>
              </w:rPr>
              <w:t>Contact telephone:</w:t>
            </w:r>
          </w:p>
        </w:tc>
        <w:tc>
          <w:tcPr>
            <w:tcW w:w="6734"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lang w:val="en-GB"/>
              </w:rPr>
            </w:pPr>
          </w:p>
        </w:tc>
      </w:tr>
      <w:tr w:rsidR="00941366" w:rsidTr="00941366">
        <w:trPr>
          <w:trHeight w:val="500"/>
        </w:trPr>
        <w:tc>
          <w:tcPr>
            <w:tcW w:w="3118"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b/>
                <w:lang w:val="en-GB"/>
              </w:rPr>
            </w:pPr>
            <w:r w:rsidRPr="00941366">
              <w:rPr>
                <w:rFonts w:asciiTheme="minorHAnsi" w:hAnsiTheme="minorHAnsi"/>
                <w:b/>
                <w:lang w:val="en-GB"/>
              </w:rPr>
              <w:t>Anonymity required (Yes/No)</w:t>
            </w:r>
          </w:p>
        </w:tc>
        <w:tc>
          <w:tcPr>
            <w:tcW w:w="6734" w:type="dxa"/>
            <w:tcBorders>
              <w:top w:val="single" w:sz="4" w:space="0" w:color="auto"/>
              <w:left w:val="single" w:sz="4" w:space="0" w:color="auto"/>
              <w:bottom w:val="single" w:sz="4" w:space="0" w:color="auto"/>
              <w:right w:val="single" w:sz="4" w:space="0" w:color="auto"/>
            </w:tcBorders>
            <w:vAlign w:val="center"/>
          </w:tcPr>
          <w:p w:rsidR="00941366" w:rsidRPr="00941366" w:rsidRDefault="00941366" w:rsidP="00941366">
            <w:pPr>
              <w:pStyle w:val="ListParagraph"/>
              <w:spacing w:before="100" w:beforeAutospacing="1" w:after="150" w:line="225" w:lineRule="atLeast"/>
              <w:ind w:left="0"/>
              <w:rPr>
                <w:rFonts w:asciiTheme="minorHAnsi" w:hAnsiTheme="minorHAnsi"/>
                <w:lang w:val="en-GB"/>
              </w:rPr>
            </w:pPr>
          </w:p>
        </w:tc>
      </w:tr>
    </w:tbl>
    <w:p w:rsidR="00941366" w:rsidRDefault="00941366" w:rsidP="00941366">
      <w:pPr>
        <w:jc w:val="center"/>
        <w:rPr>
          <w:b/>
          <w:sz w:val="24"/>
        </w:rPr>
      </w:pPr>
    </w:p>
    <w:p w:rsidR="00941366" w:rsidRPr="00374B14" w:rsidRDefault="00374B14" w:rsidP="00374B14">
      <w:pPr>
        <w:spacing w:before="120" w:after="120" w:line="276" w:lineRule="auto"/>
        <w:jc w:val="center"/>
        <w:rPr>
          <w:b/>
          <w:color w:val="365F91" w:themeColor="accent1" w:themeShade="BF"/>
          <w:sz w:val="28"/>
        </w:rPr>
      </w:pPr>
      <w:r w:rsidRPr="00374B14">
        <w:rPr>
          <w:b/>
          <w:color w:val="365F91" w:themeColor="accent1" w:themeShade="BF"/>
          <w:sz w:val="28"/>
        </w:rPr>
        <w:t>CONSULTATION QUESTIONS</w:t>
      </w:r>
    </w:p>
    <w:p w:rsidR="00941366" w:rsidRPr="00374B14" w:rsidRDefault="00941366" w:rsidP="00374B14">
      <w:pPr>
        <w:pBdr>
          <w:bottom w:val="single" w:sz="4" w:space="1" w:color="365F91" w:themeColor="accent1" w:themeShade="BF"/>
        </w:pBdr>
        <w:spacing w:before="240" w:after="240" w:line="276" w:lineRule="auto"/>
        <w:jc w:val="both"/>
        <w:rPr>
          <w:b/>
          <w:color w:val="365F91" w:themeColor="accent1" w:themeShade="BF"/>
          <w:sz w:val="24"/>
          <w:lang w:val="en-GB"/>
        </w:rPr>
      </w:pPr>
      <w:r w:rsidRPr="00374B14">
        <w:rPr>
          <w:b/>
          <w:color w:val="365F91" w:themeColor="accent1" w:themeShade="BF"/>
          <w:sz w:val="24"/>
          <w:lang w:val="en-GB"/>
        </w:rPr>
        <w:t>Consultative Question #1</w:t>
      </w:r>
    </w:p>
    <w:p w:rsidR="003270C6" w:rsidRPr="00941366" w:rsidRDefault="00941366" w:rsidP="00374B14">
      <w:pPr>
        <w:spacing w:before="120" w:after="120" w:line="276" w:lineRule="auto"/>
        <w:jc w:val="both"/>
        <w:rPr>
          <w:rFonts w:cs="Calibri"/>
          <w:i/>
          <w:sz w:val="24"/>
        </w:rPr>
      </w:pPr>
      <w:r w:rsidRPr="00941366">
        <w:rPr>
          <w:rFonts w:cs="Calibri"/>
          <w:i/>
          <w:sz w:val="24"/>
        </w:rPr>
        <w:t xml:space="preserve">Do you agree that the </w:t>
      </w:r>
      <w:proofErr w:type="spellStart"/>
      <w:r w:rsidRPr="00941366">
        <w:rPr>
          <w:rFonts w:cs="Calibri"/>
          <w:i/>
          <w:sz w:val="24"/>
        </w:rPr>
        <w:t>Eonia</w:t>
      </w:r>
      <w:proofErr w:type="spellEnd"/>
      <w:r w:rsidRPr="00941366">
        <w:rPr>
          <w:rFonts w:cs="Calibri"/>
          <w:i/>
          <w:sz w:val="24"/>
        </w:rPr>
        <w:t xml:space="preserve"> contingency triggers should be based on maintaining a minimum number of non-zero volume Panel Bank contributors</w:t>
      </w:r>
      <w:r w:rsidRPr="00941366">
        <w:rPr>
          <w:rFonts w:cs="Calibri"/>
          <w:i/>
          <w:sz w:val="24"/>
        </w:rPr>
        <w:t>?</w:t>
      </w:r>
    </w:p>
    <w:p w:rsidR="00941366" w:rsidRPr="00941366" w:rsidRDefault="00941366" w:rsidP="003270C6">
      <w:pPr>
        <w:spacing w:before="120" w:after="120" w:line="276" w:lineRule="auto"/>
        <w:jc w:val="both"/>
        <w:rPr>
          <w:rFonts w:cs="Calibri"/>
          <w:i/>
          <w:sz w:val="24"/>
        </w:rPr>
      </w:pPr>
      <w:r w:rsidRPr="00941366">
        <w:rPr>
          <w:rFonts w:cs="Calibri"/>
          <w:i/>
          <w:sz w:val="24"/>
        </w:rPr>
        <w:t>If not, please elaborate your reasons and offer your preferred alternative.</w:t>
      </w:r>
    </w:p>
    <w:p w:rsidR="00FD3262" w:rsidRPr="00374B14" w:rsidRDefault="00941366" w:rsidP="00374B14">
      <w:pPr>
        <w:pStyle w:val="NormalWeb"/>
        <w:pBdr>
          <w:bottom w:val="single" w:sz="4" w:space="1" w:color="365F91" w:themeColor="accent1" w:themeShade="BF"/>
        </w:pBdr>
        <w:jc w:val="both"/>
        <w:rPr>
          <w:b/>
          <w:color w:val="365F91" w:themeColor="accent1" w:themeShade="BF"/>
          <w:sz w:val="24"/>
          <w:lang w:val="en-GB"/>
        </w:rPr>
      </w:pPr>
      <w:r w:rsidRPr="00374B14">
        <w:rPr>
          <w:b/>
          <w:color w:val="365F91" w:themeColor="accent1" w:themeShade="BF"/>
          <w:sz w:val="24"/>
          <w:lang w:val="en-GB"/>
        </w:rPr>
        <w:t>Consultative Question #2</w:t>
      </w:r>
    </w:p>
    <w:p w:rsidR="00941366" w:rsidRDefault="00941366" w:rsidP="003270C6">
      <w:pPr>
        <w:spacing w:line="276" w:lineRule="auto"/>
        <w:jc w:val="both"/>
        <w:rPr>
          <w:rFonts w:cs="Calibri"/>
          <w:i/>
          <w:sz w:val="24"/>
        </w:rPr>
      </w:pPr>
      <w:r w:rsidRPr="00941366">
        <w:rPr>
          <w:rFonts w:cs="Calibri"/>
          <w:i/>
          <w:sz w:val="24"/>
        </w:rPr>
        <w:t xml:space="preserve">Do you agree with EMMI’s recommendation that the formulaic approach (option 3) should be used as the fallback arrangement? </w:t>
      </w:r>
    </w:p>
    <w:p w:rsidR="00941366" w:rsidRPr="00941366" w:rsidRDefault="00941366" w:rsidP="003270C6">
      <w:pPr>
        <w:spacing w:before="120" w:after="120" w:line="276" w:lineRule="auto"/>
        <w:jc w:val="both"/>
        <w:rPr>
          <w:rFonts w:cs="Calibri"/>
          <w:i/>
          <w:sz w:val="24"/>
        </w:rPr>
      </w:pPr>
      <w:r w:rsidRPr="00941366">
        <w:rPr>
          <w:rFonts w:cs="Calibri"/>
          <w:i/>
          <w:sz w:val="24"/>
        </w:rPr>
        <w:t xml:space="preserve">If not, please elaborate your reasons and offer your preferred alternative form among the other options. </w:t>
      </w:r>
    </w:p>
    <w:p w:rsidR="00FD3262" w:rsidRPr="00374B14" w:rsidRDefault="003270C6" w:rsidP="00374B14">
      <w:pPr>
        <w:pStyle w:val="NormalWeb"/>
        <w:pBdr>
          <w:bottom w:val="single" w:sz="4" w:space="1" w:color="365F91" w:themeColor="accent1" w:themeShade="BF"/>
        </w:pBdr>
        <w:jc w:val="both"/>
        <w:rPr>
          <w:b/>
          <w:color w:val="365F91" w:themeColor="accent1" w:themeShade="BF"/>
          <w:sz w:val="24"/>
          <w:lang w:val="en-GB"/>
        </w:rPr>
      </w:pPr>
      <w:r w:rsidRPr="00374B14">
        <w:rPr>
          <w:b/>
          <w:color w:val="365F91" w:themeColor="accent1" w:themeShade="BF"/>
          <w:sz w:val="24"/>
          <w:lang w:val="en-GB"/>
        </w:rPr>
        <w:t>Consultative Question #3</w:t>
      </w:r>
    </w:p>
    <w:p w:rsidR="00941366" w:rsidRPr="003270C6" w:rsidRDefault="003270C6" w:rsidP="003270C6">
      <w:pPr>
        <w:spacing w:line="276" w:lineRule="auto"/>
        <w:jc w:val="both"/>
        <w:rPr>
          <w:rFonts w:cs="Calibri"/>
          <w:i/>
          <w:sz w:val="24"/>
        </w:rPr>
      </w:pPr>
      <w:r w:rsidRPr="003270C6">
        <w:rPr>
          <w:rFonts w:cs="Calibri"/>
          <w:i/>
          <w:sz w:val="24"/>
        </w:rPr>
        <w:t xml:space="preserve">Please describe the types of financial contracts for which you use the </w:t>
      </w:r>
      <w:proofErr w:type="spellStart"/>
      <w:r w:rsidRPr="003270C6">
        <w:rPr>
          <w:rFonts w:cs="Calibri"/>
          <w:i/>
          <w:sz w:val="24"/>
        </w:rPr>
        <w:t>Eonia</w:t>
      </w:r>
      <w:proofErr w:type="spellEnd"/>
      <w:r w:rsidRPr="003270C6">
        <w:rPr>
          <w:rFonts w:cs="Calibri"/>
          <w:i/>
          <w:sz w:val="24"/>
        </w:rPr>
        <w:t xml:space="preserve"> benchmark as the primary reference rate (e.g. hedging fixed rate liability issuance, OIS, Loans, Issuance of floating rate notes, and asset purchases). For each class of financial contracts, please provide an estimate of your typical annual turnover.</w:t>
      </w:r>
    </w:p>
    <w:p w:rsidR="00941366" w:rsidRDefault="00941366"/>
    <w:p w:rsidR="00374B14" w:rsidRDefault="00374B14">
      <w:pPr>
        <w:rPr>
          <w:rFonts w:ascii="Times New Roman" w:hAnsi="Times New Roman"/>
          <w:sz w:val="24"/>
          <w:szCs w:val="24"/>
        </w:rPr>
      </w:pPr>
    </w:p>
    <w:p w:rsidR="00374B14" w:rsidRDefault="00374B14" w:rsidP="00374B14">
      <w:pPr>
        <w:spacing w:before="120" w:after="120" w:line="276" w:lineRule="auto"/>
        <w:jc w:val="center"/>
        <w:rPr>
          <w:b/>
          <w:color w:val="365F91" w:themeColor="accent1" w:themeShade="BF"/>
          <w:sz w:val="28"/>
        </w:rPr>
      </w:pPr>
    </w:p>
    <w:p w:rsidR="00374B14" w:rsidRPr="00374B14" w:rsidRDefault="00374B14" w:rsidP="00374B14">
      <w:pPr>
        <w:spacing w:before="120" w:after="120" w:line="276" w:lineRule="auto"/>
        <w:jc w:val="center"/>
        <w:rPr>
          <w:b/>
          <w:color w:val="365F91" w:themeColor="accent1" w:themeShade="BF"/>
          <w:sz w:val="28"/>
        </w:rPr>
      </w:pPr>
      <w:r>
        <w:rPr>
          <w:b/>
          <w:color w:val="365F91" w:themeColor="accent1" w:themeShade="BF"/>
          <w:sz w:val="28"/>
        </w:rPr>
        <w:t>HOW TO RESPOND TO THIS CONSULTATION</w:t>
      </w:r>
    </w:p>
    <w:p w:rsidR="003270C6" w:rsidRPr="00374B14" w:rsidRDefault="003270C6" w:rsidP="00941366">
      <w:pPr>
        <w:spacing w:after="200" w:line="276" w:lineRule="auto"/>
        <w:jc w:val="both"/>
        <w:rPr>
          <w:b/>
        </w:rPr>
      </w:pPr>
    </w:p>
    <w:p w:rsidR="00941366" w:rsidRPr="003270C6" w:rsidRDefault="00941366" w:rsidP="00374B14">
      <w:pPr>
        <w:spacing w:after="200" w:line="276" w:lineRule="auto"/>
        <w:jc w:val="both"/>
        <w:rPr>
          <w:sz w:val="24"/>
        </w:rPr>
      </w:pPr>
      <w:r w:rsidRPr="003270C6">
        <w:rPr>
          <w:sz w:val="24"/>
        </w:rPr>
        <w:t>EMMI invites all interested parties to respond to the content and questions described in Sections 3 and 4 of this consultative paper.  In particular, EMMI would like to invite the following stakeholders to provide their feedback:</w:t>
      </w:r>
    </w:p>
    <w:p w:rsidR="00941366" w:rsidRPr="003270C6" w:rsidRDefault="00941366" w:rsidP="00941366">
      <w:pPr>
        <w:pStyle w:val="ListParagraph"/>
        <w:numPr>
          <w:ilvl w:val="0"/>
          <w:numId w:val="2"/>
        </w:numPr>
        <w:spacing w:after="200" w:line="276" w:lineRule="auto"/>
        <w:contextualSpacing w:val="0"/>
        <w:jc w:val="both"/>
        <w:rPr>
          <w:sz w:val="24"/>
        </w:rPr>
      </w:pPr>
      <w:r w:rsidRPr="003270C6">
        <w:rPr>
          <w:sz w:val="24"/>
        </w:rPr>
        <w:t>Subscribers to EMMI benchmarks</w:t>
      </w:r>
    </w:p>
    <w:p w:rsidR="00941366" w:rsidRPr="003270C6" w:rsidRDefault="00941366" w:rsidP="00941366">
      <w:pPr>
        <w:pStyle w:val="ListParagraph"/>
        <w:numPr>
          <w:ilvl w:val="0"/>
          <w:numId w:val="2"/>
        </w:numPr>
        <w:spacing w:after="200" w:line="276" w:lineRule="auto"/>
        <w:contextualSpacing w:val="0"/>
        <w:jc w:val="both"/>
        <w:rPr>
          <w:sz w:val="24"/>
        </w:rPr>
      </w:pPr>
      <w:proofErr w:type="spellStart"/>
      <w:r w:rsidRPr="003270C6">
        <w:rPr>
          <w:sz w:val="24"/>
        </w:rPr>
        <w:t>Eonia</w:t>
      </w:r>
      <w:proofErr w:type="spellEnd"/>
      <w:r w:rsidRPr="003270C6">
        <w:rPr>
          <w:sz w:val="24"/>
        </w:rPr>
        <w:t xml:space="preserve"> Panel Banks, and prospective Panel Banks</w:t>
      </w:r>
    </w:p>
    <w:p w:rsidR="00941366" w:rsidRPr="003270C6" w:rsidRDefault="00941366" w:rsidP="00941366">
      <w:pPr>
        <w:pStyle w:val="ListParagraph"/>
        <w:numPr>
          <w:ilvl w:val="0"/>
          <w:numId w:val="2"/>
        </w:numPr>
        <w:spacing w:after="200" w:line="276" w:lineRule="auto"/>
        <w:contextualSpacing w:val="0"/>
        <w:jc w:val="both"/>
        <w:rPr>
          <w:sz w:val="24"/>
        </w:rPr>
      </w:pPr>
      <w:r w:rsidRPr="003270C6">
        <w:rPr>
          <w:sz w:val="24"/>
        </w:rPr>
        <w:t>Representative trade associations and user associa</w:t>
      </w:r>
      <w:bookmarkStart w:id="0" w:name="_GoBack"/>
      <w:bookmarkEnd w:id="0"/>
      <w:r w:rsidRPr="003270C6">
        <w:rPr>
          <w:sz w:val="24"/>
        </w:rPr>
        <w:t>tions</w:t>
      </w:r>
    </w:p>
    <w:p w:rsidR="00941366" w:rsidRPr="003270C6" w:rsidRDefault="00941366" w:rsidP="00941366">
      <w:pPr>
        <w:pStyle w:val="ListParagraph"/>
        <w:numPr>
          <w:ilvl w:val="0"/>
          <w:numId w:val="2"/>
        </w:numPr>
        <w:spacing w:after="200" w:line="276" w:lineRule="auto"/>
        <w:contextualSpacing w:val="0"/>
        <w:jc w:val="both"/>
        <w:rPr>
          <w:sz w:val="24"/>
        </w:rPr>
      </w:pPr>
      <w:r w:rsidRPr="003270C6">
        <w:rPr>
          <w:sz w:val="24"/>
        </w:rPr>
        <w:t>Regulatory Authorities (including Central Banks)</w:t>
      </w:r>
    </w:p>
    <w:p w:rsidR="00941366" w:rsidRPr="003270C6" w:rsidRDefault="00941366" w:rsidP="00941366">
      <w:pPr>
        <w:spacing w:after="200" w:line="276" w:lineRule="auto"/>
        <w:rPr>
          <w:b/>
          <w:sz w:val="24"/>
        </w:rPr>
      </w:pPr>
      <w:r w:rsidRPr="003270C6">
        <w:rPr>
          <w:sz w:val="24"/>
        </w:rPr>
        <w:t xml:space="preserve">Please send your feedback by </w:t>
      </w:r>
      <w:r w:rsidRPr="003270C6">
        <w:rPr>
          <w:b/>
          <w:sz w:val="24"/>
          <w:u w:val="single"/>
        </w:rPr>
        <w:t>Monday 5 September 2016 cob</w:t>
      </w:r>
      <w:r w:rsidRPr="003270C6">
        <w:rPr>
          <w:b/>
          <w:sz w:val="24"/>
        </w:rPr>
        <w:t xml:space="preserve">. </w:t>
      </w:r>
    </w:p>
    <w:p w:rsidR="00941366" w:rsidRPr="003270C6" w:rsidRDefault="00941366" w:rsidP="00941366">
      <w:pPr>
        <w:spacing w:after="200" w:line="276" w:lineRule="auto"/>
        <w:rPr>
          <w:sz w:val="24"/>
        </w:rPr>
      </w:pPr>
      <w:r w:rsidRPr="003270C6">
        <w:rPr>
          <w:b/>
          <w:sz w:val="24"/>
        </w:rPr>
        <w:t xml:space="preserve">In addition, should there be any other aspect of the </w:t>
      </w:r>
      <w:proofErr w:type="spellStart"/>
      <w:r w:rsidRPr="003270C6">
        <w:rPr>
          <w:b/>
          <w:sz w:val="24"/>
        </w:rPr>
        <w:t>Eonia</w:t>
      </w:r>
      <w:proofErr w:type="spellEnd"/>
      <w:r w:rsidRPr="003270C6">
        <w:rPr>
          <w:b/>
          <w:sz w:val="24"/>
        </w:rPr>
        <w:t xml:space="preserve"> Review (Phase 1) for which you would need further clarification please contact </w:t>
      </w:r>
      <w:proofErr w:type="gramStart"/>
      <w:r w:rsidRPr="003270C6">
        <w:rPr>
          <w:b/>
          <w:sz w:val="24"/>
        </w:rPr>
        <w:t>EMMI:</w:t>
      </w:r>
      <w:proofErr w:type="gramEnd"/>
      <w:r w:rsidRPr="003270C6">
        <w:rPr>
          <w:b/>
          <w:sz w:val="24"/>
        </w:rPr>
        <w:t xml:space="preserve"> </w:t>
      </w:r>
    </w:p>
    <w:p w:rsidR="00941366" w:rsidRPr="003270C6" w:rsidRDefault="00941366" w:rsidP="00941366">
      <w:pPr>
        <w:spacing w:after="200" w:line="276" w:lineRule="auto"/>
        <w:rPr>
          <w:sz w:val="24"/>
        </w:rPr>
      </w:pPr>
      <w:r w:rsidRPr="003270C6">
        <w:rPr>
          <w:b/>
          <w:sz w:val="24"/>
        </w:rPr>
        <w:t>By e-mail to:</w:t>
      </w:r>
      <w:r w:rsidRPr="003270C6">
        <w:rPr>
          <w:b/>
          <w:sz w:val="24"/>
        </w:rPr>
        <w:tab/>
      </w:r>
      <w:hyperlink r:id="rId8" w:history="1">
        <w:r w:rsidRPr="003270C6">
          <w:rPr>
            <w:rStyle w:val="Hyperlink"/>
            <w:sz w:val="24"/>
          </w:rPr>
          <w:t>info@emmi-benchmarks.eu</w:t>
        </w:r>
      </w:hyperlink>
      <w:r w:rsidRPr="003270C6">
        <w:rPr>
          <w:sz w:val="24"/>
        </w:rPr>
        <w:t>, specifying “</w:t>
      </w:r>
      <w:proofErr w:type="spellStart"/>
      <w:r w:rsidRPr="003270C6">
        <w:rPr>
          <w:sz w:val="24"/>
        </w:rPr>
        <w:t>Eonia</w:t>
      </w:r>
      <w:proofErr w:type="spellEnd"/>
      <w:r w:rsidRPr="003270C6">
        <w:rPr>
          <w:sz w:val="24"/>
        </w:rPr>
        <w:t xml:space="preserve"> Stakeholder Consultation” on the Subject of the e-mail</w:t>
      </w:r>
    </w:p>
    <w:p w:rsidR="00941366" w:rsidRPr="003270C6" w:rsidRDefault="00941366" w:rsidP="00941366">
      <w:pPr>
        <w:rPr>
          <w:b/>
          <w:sz w:val="24"/>
        </w:rPr>
      </w:pPr>
      <w:r w:rsidRPr="003270C6">
        <w:rPr>
          <w:b/>
          <w:sz w:val="24"/>
        </w:rPr>
        <w:t>Or</w:t>
      </w:r>
    </w:p>
    <w:p w:rsidR="00941366" w:rsidRPr="003270C6" w:rsidRDefault="00941366" w:rsidP="00941366">
      <w:pPr>
        <w:rPr>
          <w:b/>
          <w:sz w:val="24"/>
        </w:rPr>
      </w:pPr>
    </w:p>
    <w:p w:rsidR="00941366" w:rsidRPr="003270C6" w:rsidRDefault="00941366" w:rsidP="00941366">
      <w:pPr>
        <w:rPr>
          <w:b/>
          <w:sz w:val="24"/>
        </w:rPr>
      </w:pPr>
      <w:r w:rsidRPr="003270C6">
        <w:rPr>
          <w:b/>
          <w:sz w:val="24"/>
        </w:rPr>
        <w:t>By post to:</w:t>
      </w:r>
      <w:r w:rsidRPr="003270C6">
        <w:rPr>
          <w:b/>
          <w:sz w:val="24"/>
        </w:rPr>
        <w:tab/>
        <w:t>European Money Markets Institute (EMMI)</w:t>
      </w:r>
    </w:p>
    <w:p w:rsidR="00941366" w:rsidRPr="003270C6" w:rsidRDefault="00941366" w:rsidP="00941366">
      <w:pPr>
        <w:rPr>
          <w:b/>
          <w:sz w:val="24"/>
        </w:rPr>
      </w:pPr>
      <w:r w:rsidRPr="003270C6">
        <w:rPr>
          <w:b/>
          <w:sz w:val="24"/>
        </w:rPr>
        <w:tab/>
      </w:r>
      <w:r w:rsidRPr="003270C6">
        <w:rPr>
          <w:b/>
          <w:sz w:val="24"/>
        </w:rPr>
        <w:tab/>
        <w:t>Avenue des Arts 56</w:t>
      </w:r>
    </w:p>
    <w:p w:rsidR="00941366" w:rsidRPr="003270C6" w:rsidRDefault="00941366" w:rsidP="00941366">
      <w:pPr>
        <w:rPr>
          <w:b/>
          <w:sz w:val="24"/>
        </w:rPr>
      </w:pPr>
      <w:r w:rsidRPr="003270C6">
        <w:rPr>
          <w:b/>
          <w:sz w:val="24"/>
        </w:rPr>
        <w:tab/>
      </w:r>
      <w:r w:rsidRPr="003270C6">
        <w:rPr>
          <w:b/>
          <w:sz w:val="24"/>
        </w:rPr>
        <w:tab/>
        <w:t>1000 Brussels</w:t>
      </w:r>
    </w:p>
    <w:p w:rsidR="00941366" w:rsidRPr="003270C6" w:rsidRDefault="00941366" w:rsidP="00941366">
      <w:pPr>
        <w:rPr>
          <w:b/>
          <w:sz w:val="24"/>
        </w:rPr>
      </w:pPr>
      <w:r w:rsidRPr="003270C6">
        <w:rPr>
          <w:b/>
          <w:sz w:val="24"/>
        </w:rPr>
        <w:tab/>
      </w:r>
      <w:r w:rsidRPr="003270C6">
        <w:rPr>
          <w:b/>
          <w:sz w:val="24"/>
        </w:rPr>
        <w:tab/>
        <w:t>Belgium</w:t>
      </w:r>
    </w:p>
    <w:p w:rsidR="00941366" w:rsidRPr="003270C6" w:rsidRDefault="00941366" w:rsidP="00941366">
      <w:pPr>
        <w:rPr>
          <w:b/>
          <w:sz w:val="24"/>
        </w:rPr>
      </w:pPr>
    </w:p>
    <w:p w:rsidR="00941366" w:rsidRPr="003270C6" w:rsidRDefault="00941366" w:rsidP="00941366">
      <w:pPr>
        <w:spacing w:after="200" w:line="276" w:lineRule="auto"/>
        <w:jc w:val="both"/>
        <w:rPr>
          <w:sz w:val="24"/>
        </w:rPr>
      </w:pPr>
      <w:r w:rsidRPr="003270C6">
        <w:rPr>
          <w:sz w:val="24"/>
        </w:rPr>
        <w:t>Following the EMMI Benchmarks Consultation Policy</w:t>
      </w:r>
      <w:r w:rsidRPr="003270C6">
        <w:rPr>
          <w:rStyle w:val="FootnoteReference"/>
          <w:sz w:val="24"/>
        </w:rPr>
        <w:footnoteReference w:id="1"/>
      </w:r>
      <w:r w:rsidRPr="003270C6">
        <w:rPr>
          <w:sz w:val="24"/>
        </w:rPr>
        <w:t xml:space="preserve">, EMMI shall address feedback received from stakeholders in a published summary of contributions, anonymized and aggregated when stakeholders have requested anonymity. EMMI will provide its rationale for the acceptance, modification or rejection of recommendations made by respondents to the consultation as part of this summary. </w:t>
      </w:r>
    </w:p>
    <w:p w:rsidR="00FD3262" w:rsidRPr="003270C6" w:rsidRDefault="00941366" w:rsidP="00374B14">
      <w:pPr>
        <w:spacing w:after="200" w:line="276" w:lineRule="auto"/>
        <w:jc w:val="both"/>
        <w:rPr>
          <w:sz w:val="24"/>
        </w:rPr>
      </w:pPr>
      <w:r w:rsidRPr="003270C6">
        <w:rPr>
          <w:sz w:val="24"/>
        </w:rPr>
        <w:t xml:space="preserve">EMMI will publish a summary of the consultation feedback on the EMMI website. Such publication shall take place as soon as possible after the approval of the summary by the Steering Committee and the EMMI Board of Directors. </w:t>
      </w:r>
    </w:p>
    <w:sectPr w:rsidR="00FD3262" w:rsidRPr="003270C6" w:rsidSect="009649BF">
      <w:headerReference w:type="default" r:id="rId9"/>
      <w:footerReference w:type="default" r:id="rId10"/>
      <w:headerReference w:type="first" r:id="rId11"/>
      <w:footerReference w:type="first" r:id="rId12"/>
      <w:pgSz w:w="11906" w:h="16838" w:code="9"/>
      <w:pgMar w:top="2098" w:right="964" w:bottom="1474" w:left="964" w:header="709" w:footer="78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262" w:rsidRDefault="00FD3262">
      <w:r>
        <w:separator/>
      </w:r>
    </w:p>
  </w:endnote>
  <w:endnote w:type="continuationSeparator" w:id="0">
    <w:p w:rsidR="00FD3262" w:rsidRDefault="00FD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F7" w:rsidRPr="00FD7B7A" w:rsidRDefault="007577F7" w:rsidP="0024270B">
    <w:pPr>
      <w:pStyle w:val="Footer"/>
      <w:framePr w:wrap="auto" w:vAnchor="text" w:hAnchor="page" w:x="10519" w:y="1"/>
      <w:rPr>
        <w:rStyle w:val="PageNumber"/>
        <w:color w:val="767676"/>
        <w:sz w:val="20"/>
        <w:szCs w:val="20"/>
      </w:rPr>
    </w:pPr>
    <w:r w:rsidRPr="00FD7B7A">
      <w:rPr>
        <w:rStyle w:val="PageNumber"/>
        <w:color w:val="767676"/>
        <w:sz w:val="20"/>
        <w:szCs w:val="20"/>
      </w:rPr>
      <w:fldChar w:fldCharType="begin"/>
    </w:r>
    <w:r w:rsidRPr="00FD7B7A">
      <w:rPr>
        <w:rStyle w:val="PageNumber"/>
        <w:color w:val="767676"/>
        <w:sz w:val="20"/>
        <w:szCs w:val="20"/>
      </w:rPr>
      <w:instrText xml:space="preserve">PAGE  </w:instrText>
    </w:r>
    <w:r w:rsidRPr="00FD7B7A">
      <w:rPr>
        <w:rStyle w:val="PageNumber"/>
        <w:color w:val="767676"/>
        <w:sz w:val="20"/>
        <w:szCs w:val="20"/>
      </w:rPr>
      <w:fldChar w:fldCharType="separate"/>
    </w:r>
    <w:r w:rsidR="00374B14">
      <w:rPr>
        <w:rStyle w:val="PageNumber"/>
        <w:noProof/>
        <w:color w:val="767676"/>
        <w:sz w:val="20"/>
        <w:szCs w:val="20"/>
      </w:rPr>
      <w:t>2</w:t>
    </w:r>
    <w:r w:rsidRPr="00FD7B7A">
      <w:rPr>
        <w:rStyle w:val="PageNumber"/>
        <w:color w:val="767676"/>
        <w:sz w:val="20"/>
        <w:szCs w:val="20"/>
      </w:rPr>
      <w:fldChar w:fldCharType="end"/>
    </w:r>
  </w:p>
  <w:p w:rsidR="007577F7" w:rsidRPr="00FD7B7A" w:rsidRDefault="00250448" w:rsidP="0024270B">
    <w:pPr>
      <w:pStyle w:val="Footer"/>
      <w:tabs>
        <w:tab w:val="clear" w:pos="9072"/>
      </w:tabs>
      <w:ind w:right="515"/>
      <w:jc w:val="right"/>
      <w:rPr>
        <w:color w:val="767676"/>
        <w:sz w:val="20"/>
        <w:szCs w:val="20"/>
      </w:rPr>
    </w:pPr>
    <w:r>
      <w:rPr>
        <w:noProof/>
        <w:lang w:val="fr-BE" w:eastAsia="fr-BE"/>
      </w:rPr>
      <w:drawing>
        <wp:anchor distT="0" distB="0" distL="114300" distR="114300" simplePos="0" relativeHeight="251656192" behindDoc="1" locked="0" layoutInCell="0" allowOverlap="1">
          <wp:simplePos x="0" y="0"/>
          <wp:positionH relativeFrom="page">
            <wp:posOffset>4864100</wp:posOffset>
          </wp:positionH>
          <wp:positionV relativeFrom="page">
            <wp:posOffset>9883140</wp:posOffset>
          </wp:positionV>
          <wp:extent cx="2084705" cy="4508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450850"/>
                  </a:xfrm>
                  <a:prstGeom prst="rect">
                    <a:avLst/>
                  </a:prstGeom>
                  <a:noFill/>
                </pic:spPr>
              </pic:pic>
            </a:graphicData>
          </a:graphic>
          <wp14:sizeRelH relativeFrom="page">
            <wp14:pctWidth>0</wp14:pctWidth>
          </wp14:sizeRelH>
          <wp14:sizeRelV relativeFrom="page">
            <wp14:pctHeight>0</wp14:pctHeight>
          </wp14:sizeRelV>
        </wp:anchor>
      </w:drawing>
    </w:r>
    <w:r w:rsidR="007577F7" w:rsidRPr="00FD7B7A">
      <w:rPr>
        <w:color w:val="767676"/>
        <w:sz w:val="20"/>
        <w:szCs w:val="2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F7" w:rsidRDefault="00250448">
    <w:pPr>
      <w:pStyle w:val="Footer"/>
    </w:pPr>
    <w:r>
      <w:rPr>
        <w:noProof/>
        <w:lang w:val="fr-BE" w:eastAsia="fr-BE"/>
      </w:rPr>
      <w:drawing>
        <wp:anchor distT="0" distB="0" distL="114300" distR="114300" simplePos="0" relativeHeight="251659264" behindDoc="1" locked="0" layoutInCell="1" allowOverlap="1">
          <wp:simplePos x="0" y="0"/>
          <wp:positionH relativeFrom="column">
            <wp:posOffset>0</wp:posOffset>
          </wp:positionH>
          <wp:positionV relativeFrom="paragraph">
            <wp:posOffset>-111760</wp:posOffset>
          </wp:positionV>
          <wp:extent cx="6330315" cy="450215"/>
          <wp:effectExtent l="0" t="0" r="0" b="6985"/>
          <wp:wrapTight wrapText="bothSides">
            <wp:wrapPolygon edited="0">
              <wp:start x="18460" y="0"/>
              <wp:lineTo x="5915" y="914"/>
              <wp:lineTo x="5655" y="14623"/>
              <wp:lineTo x="6110" y="15537"/>
              <wp:lineTo x="18850" y="21021"/>
              <wp:lineTo x="19890" y="21021"/>
              <wp:lineTo x="21515" y="21021"/>
              <wp:lineTo x="21515" y="0"/>
              <wp:lineTo x="184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315" cy="4502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262" w:rsidRDefault="00FD3262">
      <w:r>
        <w:separator/>
      </w:r>
    </w:p>
  </w:footnote>
  <w:footnote w:type="continuationSeparator" w:id="0">
    <w:p w:rsidR="00FD3262" w:rsidRDefault="00FD3262">
      <w:r>
        <w:continuationSeparator/>
      </w:r>
    </w:p>
  </w:footnote>
  <w:footnote w:id="1">
    <w:p w:rsidR="00941366" w:rsidRDefault="00941366" w:rsidP="00941366">
      <w:pPr>
        <w:pStyle w:val="FootnoteText"/>
      </w:pPr>
      <w:r>
        <w:rPr>
          <w:rStyle w:val="FootnoteReference"/>
        </w:rPr>
        <w:footnoteRef/>
      </w:r>
      <w:r>
        <w:t xml:space="preserve"> </w:t>
      </w:r>
      <w:r w:rsidRPr="008434D1">
        <w:rPr>
          <w:sz w:val="16"/>
        </w:rPr>
        <w:t xml:space="preserve">Emmi Benchmarks Consultation Policy: </w:t>
      </w:r>
      <w:hyperlink r:id="rId1" w:history="1">
        <w:r w:rsidRPr="008434D1">
          <w:rPr>
            <w:rStyle w:val="Hyperlink"/>
            <w:sz w:val="16"/>
          </w:rPr>
          <w:t>https://www.emmi-benchmarks.eu/assets/files/D0365C-2014-EMMI%20Consultation%20Policy-procedures_4Nov2014.pdf</w:t>
        </w:r>
      </w:hyperlink>
      <w:r w:rsidRPr="008434D1">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F7" w:rsidRDefault="00250448">
    <w:pPr>
      <w:pStyle w:val="Header"/>
    </w:pPr>
    <w:r>
      <w:rPr>
        <w:noProof/>
        <w:lang w:val="fr-BE" w:eastAsia="fr-BE"/>
      </w:rPr>
      <w:drawing>
        <wp:anchor distT="0" distB="0" distL="114300" distR="114300" simplePos="0" relativeHeight="251658240" behindDoc="1" locked="0" layoutInCell="0" allowOverlap="1">
          <wp:simplePos x="0" y="0"/>
          <wp:positionH relativeFrom="page">
            <wp:posOffset>612140</wp:posOffset>
          </wp:positionH>
          <wp:positionV relativeFrom="page">
            <wp:posOffset>478790</wp:posOffset>
          </wp:positionV>
          <wp:extent cx="1440180" cy="8242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24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F7" w:rsidRDefault="00FD3262" w:rsidP="00FD3262">
    <w:pPr>
      <w:pStyle w:val="Header"/>
      <w:jc w:val="right"/>
      <w:rPr>
        <w:rFonts w:asciiTheme="minorHAnsi" w:hAnsiTheme="minorHAnsi"/>
        <w:b/>
        <w:i/>
        <w:color w:val="009999"/>
        <w:sz w:val="16"/>
      </w:rPr>
    </w:pPr>
    <w:r w:rsidRPr="00FD3262">
      <w:rPr>
        <w:rFonts w:asciiTheme="minorHAnsi" w:hAnsiTheme="minorHAnsi"/>
        <w:b/>
        <w:i/>
        <w:color w:val="009999"/>
        <w:sz w:val="16"/>
      </w:rPr>
      <w:t>RESTRICTED</w:t>
    </w:r>
  </w:p>
  <w:p w:rsidR="00FD3262" w:rsidRPr="00FD3262" w:rsidRDefault="00FD3262" w:rsidP="00FD3262">
    <w:pPr>
      <w:pStyle w:val="Header"/>
      <w:jc w:val="right"/>
      <w:rPr>
        <w:rFonts w:asciiTheme="minorHAnsi" w:hAnsiTheme="minorHAnsi"/>
        <w:sz w:val="16"/>
      </w:rPr>
    </w:pPr>
    <w:r w:rsidRPr="00FD3262">
      <w:rPr>
        <w:rFonts w:asciiTheme="minorHAnsi" w:hAnsiTheme="minorHAnsi"/>
        <w:sz w:val="16"/>
      </w:rPr>
      <w:t>AF</w:t>
    </w:r>
  </w:p>
  <w:p w:rsidR="00FD3262" w:rsidRPr="00FD3262" w:rsidRDefault="00FD3262" w:rsidP="00FD3262">
    <w:pPr>
      <w:pStyle w:val="Header"/>
      <w:jc w:val="right"/>
      <w:rPr>
        <w:rFonts w:asciiTheme="minorHAnsi" w:hAnsiTheme="minorHAnsi"/>
        <w:sz w:val="16"/>
      </w:rPr>
    </w:pPr>
    <w:r w:rsidRPr="00FD3262">
      <w:rPr>
        <w:rFonts w:asciiTheme="minorHAnsi" w:hAnsiTheme="minorHAnsi"/>
        <w:sz w:val="16"/>
      </w:rPr>
      <w:t>D0325</w:t>
    </w:r>
    <w:r w:rsidR="00306F45">
      <w:rPr>
        <w:rFonts w:asciiTheme="minorHAnsi" w:hAnsiTheme="minorHAnsi"/>
        <w:sz w:val="16"/>
      </w:rPr>
      <w:t>A</w:t>
    </w:r>
    <w:r w:rsidRPr="00FD3262">
      <w:rPr>
        <w:rFonts w:asciiTheme="minorHAnsi" w:hAnsiTheme="minorHAnsi"/>
        <w:sz w:val="16"/>
      </w:rPr>
      <w:t>-2016</w:t>
    </w:r>
  </w:p>
  <w:p w:rsidR="007577F7" w:rsidRDefault="007577F7">
    <w:pPr>
      <w:pStyle w:val="Header"/>
    </w:pPr>
  </w:p>
  <w:p w:rsidR="007577F7" w:rsidRDefault="007577F7">
    <w:pPr>
      <w:pStyle w:val="Header"/>
    </w:pPr>
  </w:p>
  <w:p w:rsidR="007577F7" w:rsidRDefault="007577F7">
    <w:pPr>
      <w:pStyle w:val="Header"/>
    </w:pPr>
  </w:p>
  <w:p w:rsidR="007577F7" w:rsidRDefault="007577F7">
    <w:pPr>
      <w:pStyle w:val="Header"/>
    </w:pPr>
  </w:p>
  <w:p w:rsidR="007577F7" w:rsidRDefault="00250448">
    <w:pPr>
      <w:pStyle w:val="Header"/>
    </w:pPr>
    <w:r>
      <w:rPr>
        <w:noProof/>
        <w:lang w:val="fr-BE" w:eastAsia="fr-BE"/>
      </w:rPr>
      <w:drawing>
        <wp:anchor distT="0" distB="0" distL="114300" distR="114300" simplePos="0" relativeHeight="251657216" behindDoc="1" locked="0" layoutInCell="0" allowOverlap="1">
          <wp:simplePos x="0" y="0"/>
          <wp:positionH relativeFrom="page">
            <wp:posOffset>612140</wp:posOffset>
          </wp:positionH>
          <wp:positionV relativeFrom="page">
            <wp:posOffset>442595</wp:posOffset>
          </wp:positionV>
          <wp:extent cx="1800225" cy="10306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30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E7156"/>
    <w:multiLevelType w:val="hybridMultilevel"/>
    <w:tmpl w:val="11346FAC"/>
    <w:lvl w:ilvl="0" w:tplc="7E10C3A4">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B34362"/>
    <w:multiLevelType w:val="hybridMultilevel"/>
    <w:tmpl w:val="97201D16"/>
    <w:lvl w:ilvl="0" w:tplc="D3A4FB12">
      <w:numFmt w:val="bullet"/>
      <w:lvlText w:val="-"/>
      <w:lvlJc w:val="left"/>
      <w:pPr>
        <w:ind w:left="720" w:hanging="360"/>
      </w:pPr>
      <w:rPr>
        <w:rFonts w:ascii="Calibri" w:eastAsia="Times New Roman" w:hAnsi="Calibri" w:cs="Times New Roman" w:hint="default"/>
        <w:b/>
        <w:color w:val="auto"/>
        <w:sz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62"/>
    <w:rsid w:val="000437A2"/>
    <w:rsid w:val="0006126A"/>
    <w:rsid w:val="000D10E1"/>
    <w:rsid w:val="00110E09"/>
    <w:rsid w:val="001F4D9B"/>
    <w:rsid w:val="001F752B"/>
    <w:rsid w:val="0024270B"/>
    <w:rsid w:val="00250448"/>
    <w:rsid w:val="002760A0"/>
    <w:rsid w:val="002A3DDD"/>
    <w:rsid w:val="00306F45"/>
    <w:rsid w:val="003270C6"/>
    <w:rsid w:val="00354514"/>
    <w:rsid w:val="00361B62"/>
    <w:rsid w:val="00365AC7"/>
    <w:rsid w:val="00374B14"/>
    <w:rsid w:val="00427578"/>
    <w:rsid w:val="00485B8F"/>
    <w:rsid w:val="004F7392"/>
    <w:rsid w:val="005464E0"/>
    <w:rsid w:val="00613317"/>
    <w:rsid w:val="00636E32"/>
    <w:rsid w:val="00660757"/>
    <w:rsid w:val="006C48B4"/>
    <w:rsid w:val="007577F7"/>
    <w:rsid w:val="007C5EE5"/>
    <w:rsid w:val="008628ED"/>
    <w:rsid w:val="00864D82"/>
    <w:rsid w:val="008738DA"/>
    <w:rsid w:val="00941366"/>
    <w:rsid w:val="009649BF"/>
    <w:rsid w:val="009A673B"/>
    <w:rsid w:val="00A04B82"/>
    <w:rsid w:val="00A402B1"/>
    <w:rsid w:val="00A63BA9"/>
    <w:rsid w:val="00AC5514"/>
    <w:rsid w:val="00AD7516"/>
    <w:rsid w:val="00B32AD7"/>
    <w:rsid w:val="00B91C1D"/>
    <w:rsid w:val="00BB323F"/>
    <w:rsid w:val="00C34BB5"/>
    <w:rsid w:val="00C40435"/>
    <w:rsid w:val="00C51059"/>
    <w:rsid w:val="00C661BA"/>
    <w:rsid w:val="00C75230"/>
    <w:rsid w:val="00D060E6"/>
    <w:rsid w:val="00D147A7"/>
    <w:rsid w:val="00D237C3"/>
    <w:rsid w:val="00D90731"/>
    <w:rsid w:val="00E05794"/>
    <w:rsid w:val="00E2471D"/>
    <w:rsid w:val="00E2763C"/>
    <w:rsid w:val="00ED05FD"/>
    <w:rsid w:val="00ED3BC7"/>
    <w:rsid w:val="00EE612F"/>
    <w:rsid w:val="00FD3262"/>
    <w:rsid w:val="00FD7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60A9A4-E6E7-4031-8286-53B20D3E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62"/>
    <w:rPr>
      <w:rFonts w:ascii="Calibri" w:hAnsi="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2AD7"/>
    <w:pPr>
      <w:tabs>
        <w:tab w:val="center" w:pos="4536"/>
        <w:tab w:val="right" w:pos="9072"/>
      </w:tabs>
    </w:pPr>
  </w:style>
  <w:style w:type="character" w:customStyle="1" w:styleId="HeaderChar">
    <w:name w:val="Header Char"/>
    <w:basedOn w:val="DefaultParagraphFont"/>
    <w:link w:val="Header"/>
    <w:uiPriority w:val="99"/>
    <w:semiHidden/>
    <w:locked/>
    <w:rsid w:val="00ED05FD"/>
    <w:rPr>
      <w:sz w:val="24"/>
      <w:szCs w:val="24"/>
    </w:rPr>
  </w:style>
  <w:style w:type="paragraph" w:styleId="Footer">
    <w:name w:val="footer"/>
    <w:basedOn w:val="Normal"/>
    <w:link w:val="FooterChar"/>
    <w:uiPriority w:val="99"/>
    <w:rsid w:val="00B32AD7"/>
    <w:pPr>
      <w:tabs>
        <w:tab w:val="center" w:pos="4536"/>
        <w:tab w:val="right" w:pos="9072"/>
      </w:tabs>
    </w:pPr>
  </w:style>
  <w:style w:type="character" w:customStyle="1" w:styleId="FooterChar">
    <w:name w:val="Footer Char"/>
    <w:basedOn w:val="DefaultParagraphFont"/>
    <w:link w:val="Footer"/>
    <w:uiPriority w:val="99"/>
    <w:semiHidden/>
    <w:locked/>
    <w:rsid w:val="00ED05FD"/>
    <w:rPr>
      <w:sz w:val="24"/>
      <w:szCs w:val="24"/>
    </w:rPr>
  </w:style>
  <w:style w:type="character" w:styleId="PageNumber">
    <w:name w:val="page number"/>
    <w:basedOn w:val="DefaultParagraphFont"/>
    <w:uiPriority w:val="99"/>
    <w:rsid w:val="00B32AD7"/>
  </w:style>
  <w:style w:type="paragraph" w:styleId="NormalWeb">
    <w:name w:val="Normal (Web)"/>
    <w:basedOn w:val="Normal"/>
    <w:uiPriority w:val="99"/>
    <w:rsid w:val="00636E32"/>
    <w:pPr>
      <w:spacing w:before="100" w:beforeAutospacing="1" w:after="100" w:afterAutospacing="1"/>
    </w:pPr>
  </w:style>
  <w:style w:type="table" w:styleId="TableGrid">
    <w:name w:val="Table Grid"/>
    <w:basedOn w:val="TableNormal"/>
    <w:locked/>
    <w:rsid w:val="00FD326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3262"/>
    <w:pPr>
      <w:ind w:left="720"/>
      <w:contextualSpacing/>
    </w:pPr>
  </w:style>
  <w:style w:type="paragraph" w:styleId="FootnoteText">
    <w:name w:val="footnote text"/>
    <w:basedOn w:val="Normal"/>
    <w:link w:val="FootnoteTextChar"/>
    <w:uiPriority w:val="99"/>
    <w:semiHidden/>
    <w:unhideWhenUsed/>
    <w:rsid w:val="00941366"/>
    <w:rPr>
      <w:sz w:val="20"/>
      <w:szCs w:val="20"/>
    </w:rPr>
  </w:style>
  <w:style w:type="character" w:customStyle="1" w:styleId="FootnoteTextChar">
    <w:name w:val="Footnote Text Char"/>
    <w:basedOn w:val="DefaultParagraphFont"/>
    <w:link w:val="FootnoteText"/>
    <w:uiPriority w:val="99"/>
    <w:semiHidden/>
    <w:rsid w:val="00941366"/>
    <w:rPr>
      <w:rFonts w:ascii="Calibri" w:hAnsi="Calibri"/>
      <w:sz w:val="20"/>
      <w:szCs w:val="20"/>
      <w:lang w:val="en-US"/>
    </w:rPr>
  </w:style>
  <w:style w:type="character" w:styleId="FootnoteReference">
    <w:name w:val="footnote reference"/>
    <w:basedOn w:val="DefaultParagraphFont"/>
    <w:uiPriority w:val="99"/>
    <w:semiHidden/>
    <w:unhideWhenUsed/>
    <w:rsid w:val="00941366"/>
    <w:rPr>
      <w:vertAlign w:val="superscript"/>
    </w:rPr>
  </w:style>
  <w:style w:type="character" w:styleId="Hyperlink">
    <w:name w:val="Hyperlink"/>
    <w:basedOn w:val="DefaultParagraphFont"/>
    <w:uiPriority w:val="99"/>
    <w:unhideWhenUsed/>
    <w:rsid w:val="00941366"/>
    <w:rPr>
      <w:color w:val="0000FF" w:themeColor="hyperlink"/>
      <w:u w:val="single"/>
    </w:rPr>
  </w:style>
  <w:style w:type="character" w:customStyle="1" w:styleId="ListParagraphChar">
    <w:name w:val="List Paragraph Char"/>
    <w:basedOn w:val="DefaultParagraphFont"/>
    <w:link w:val="ListParagraph"/>
    <w:uiPriority w:val="34"/>
    <w:rsid w:val="00941366"/>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852328">
      <w:marLeft w:val="0"/>
      <w:marRight w:val="0"/>
      <w:marTop w:val="0"/>
      <w:marBottom w:val="0"/>
      <w:divBdr>
        <w:top w:val="none" w:sz="0" w:space="0" w:color="auto"/>
        <w:left w:val="none" w:sz="0" w:space="0" w:color="auto"/>
        <w:bottom w:val="none" w:sz="0" w:space="0" w:color="auto"/>
        <w:right w:val="none" w:sz="0" w:space="0" w:color="auto"/>
      </w:divBdr>
      <w:divsChild>
        <w:div w:id="1682852330">
          <w:marLeft w:val="0"/>
          <w:marRight w:val="0"/>
          <w:marTop w:val="0"/>
          <w:marBottom w:val="0"/>
          <w:divBdr>
            <w:top w:val="none" w:sz="0" w:space="0" w:color="auto"/>
            <w:left w:val="none" w:sz="0" w:space="0" w:color="auto"/>
            <w:bottom w:val="none" w:sz="0" w:space="0" w:color="auto"/>
            <w:right w:val="none" w:sz="0" w:space="0" w:color="auto"/>
          </w:divBdr>
        </w:div>
      </w:divsChild>
    </w:div>
    <w:div w:id="1682852329">
      <w:marLeft w:val="0"/>
      <w:marRight w:val="0"/>
      <w:marTop w:val="0"/>
      <w:marBottom w:val="0"/>
      <w:divBdr>
        <w:top w:val="none" w:sz="0" w:space="0" w:color="auto"/>
        <w:left w:val="none" w:sz="0" w:space="0" w:color="auto"/>
        <w:bottom w:val="none" w:sz="0" w:space="0" w:color="auto"/>
        <w:right w:val="none" w:sz="0" w:space="0" w:color="auto"/>
      </w:divBdr>
      <w:divsChild>
        <w:div w:id="1682852332">
          <w:marLeft w:val="0"/>
          <w:marRight w:val="0"/>
          <w:marTop w:val="0"/>
          <w:marBottom w:val="0"/>
          <w:divBdr>
            <w:top w:val="none" w:sz="0" w:space="0" w:color="auto"/>
            <w:left w:val="none" w:sz="0" w:space="0" w:color="auto"/>
            <w:bottom w:val="none" w:sz="0" w:space="0" w:color="auto"/>
            <w:right w:val="none" w:sz="0" w:space="0" w:color="auto"/>
          </w:divBdr>
        </w:div>
      </w:divsChild>
    </w:div>
    <w:div w:id="1682852331">
      <w:marLeft w:val="0"/>
      <w:marRight w:val="0"/>
      <w:marTop w:val="0"/>
      <w:marBottom w:val="0"/>
      <w:divBdr>
        <w:top w:val="none" w:sz="0" w:space="0" w:color="auto"/>
        <w:left w:val="none" w:sz="0" w:space="0" w:color="auto"/>
        <w:bottom w:val="none" w:sz="0" w:space="0" w:color="auto"/>
        <w:right w:val="none" w:sz="0" w:space="0" w:color="auto"/>
      </w:divBdr>
      <w:divsChild>
        <w:div w:id="1682852333">
          <w:marLeft w:val="0"/>
          <w:marRight w:val="0"/>
          <w:marTop w:val="0"/>
          <w:marBottom w:val="0"/>
          <w:divBdr>
            <w:top w:val="none" w:sz="0" w:space="0" w:color="auto"/>
            <w:left w:val="none" w:sz="0" w:space="0" w:color="auto"/>
            <w:bottom w:val="none" w:sz="0" w:space="0" w:color="auto"/>
            <w:right w:val="none" w:sz="0" w:space="0" w:color="auto"/>
          </w:divBdr>
        </w:div>
      </w:divsChild>
    </w:div>
    <w:div w:id="1682852335">
      <w:marLeft w:val="0"/>
      <w:marRight w:val="0"/>
      <w:marTop w:val="0"/>
      <w:marBottom w:val="0"/>
      <w:divBdr>
        <w:top w:val="none" w:sz="0" w:space="0" w:color="auto"/>
        <w:left w:val="none" w:sz="0" w:space="0" w:color="auto"/>
        <w:bottom w:val="none" w:sz="0" w:space="0" w:color="auto"/>
        <w:right w:val="none" w:sz="0" w:space="0" w:color="auto"/>
      </w:divBdr>
      <w:divsChild>
        <w:div w:id="1682852334">
          <w:marLeft w:val="0"/>
          <w:marRight w:val="0"/>
          <w:marTop w:val="0"/>
          <w:marBottom w:val="0"/>
          <w:divBdr>
            <w:top w:val="none" w:sz="0" w:space="0" w:color="auto"/>
            <w:left w:val="none" w:sz="0" w:space="0" w:color="auto"/>
            <w:bottom w:val="none" w:sz="0" w:space="0" w:color="auto"/>
            <w:right w:val="none" w:sz="0" w:space="0" w:color="auto"/>
          </w:divBdr>
        </w:div>
      </w:divsChild>
    </w:div>
    <w:div w:id="1682852336">
      <w:marLeft w:val="0"/>
      <w:marRight w:val="0"/>
      <w:marTop w:val="0"/>
      <w:marBottom w:val="0"/>
      <w:divBdr>
        <w:top w:val="none" w:sz="0" w:space="0" w:color="auto"/>
        <w:left w:val="none" w:sz="0" w:space="0" w:color="auto"/>
        <w:bottom w:val="none" w:sz="0" w:space="0" w:color="auto"/>
        <w:right w:val="none" w:sz="0" w:space="0" w:color="auto"/>
      </w:divBdr>
      <w:divsChild>
        <w:div w:id="168285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mmi-benchmark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mmi-benchmarks.eu/assets/files/D0365C-2014-EMMI%20Consultation%20Policy-procedures_4Nov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20EMMI\Eonia-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BEBD-13F4-44B3-AE05-BD3AEBD5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Eonia-document</Template>
  <TotalTime>45</TotalTime>
  <Pages>2</Pages>
  <Words>404</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 Ronvaux</dc:creator>
  <cp:keywords/>
  <dc:description/>
  <cp:lastModifiedBy>Pauline Ronvaux</cp:lastModifiedBy>
  <cp:revision>7</cp:revision>
  <dcterms:created xsi:type="dcterms:W3CDTF">2016-08-03T13:05:00Z</dcterms:created>
  <dcterms:modified xsi:type="dcterms:W3CDTF">2016-08-03T13:52:00Z</dcterms:modified>
</cp:coreProperties>
</file>